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Никонова Наталія Володимирівна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 </w:t>
      </w:r>
      <w:r w:rsidDel="00000000" w:rsidR="00000000" w:rsidRPr="00000000">
        <w:rPr>
          <w:rFonts w:ascii="Times New Roman" w:cs="Times New Roman" w:eastAsia="Times New Roman" w:hAnsi="Times New Roman"/>
          <w:rtl w:val="0"/>
        </w:rPr>
        <w:t xml:space="preserve">3696005101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w:t>
      </w:r>
      <w:r w:rsidDel="00000000" w:rsidR="00000000" w:rsidRPr="00000000">
        <w:rPr>
          <w:rFonts w:ascii="Times New Roman" w:cs="Times New Roman" w:eastAsia="Times New Roman" w:hAnsi="Times New Roman"/>
          <w:rtl w:val="0"/>
        </w:rPr>
        <w:t xml:space="preserve">ка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.Анни Ахматової, 35а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highlight w:val="white"/>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88SfglJ9sSjtzB4TSV96sctE9A==">CgMxLjA4AHIhMUx4LWdxS3ZfdmFzc0Z6OF94VWQ2YnUyenF0aV9TSHF1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